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26</w:t>
      </w:r>
      <w:r>
        <w:rPr>
          <w:b/>
        </w:rPr>
        <w:tab/>
      </w:r>
      <w:r>
        <w:rPr>
          <w:rFonts w:hint="eastAsia"/>
          <w:b/>
        </w:rPr>
        <w:t>R2-2405022</w:t>
      </w:r>
    </w:p>
    <w:p>
      <w:pPr>
        <w:pStyle w:val="56"/>
        <w:jc w:val="left"/>
        <w:rPr>
          <w:rFonts w:hint="eastAsia" w:cs="Arial"/>
          <w:sz w:val="20"/>
        </w:rPr>
      </w:pPr>
      <w:r>
        <w:rPr>
          <w:rFonts w:hint="eastAsia" w:cs="Arial"/>
          <w:sz w:val="20"/>
        </w:rPr>
        <w:t>Fukuoka, Japan, May 20</w:t>
      </w:r>
      <w:r>
        <w:rPr>
          <w:rFonts w:hint="eastAsia" w:eastAsia="宋体" w:cs="Arial"/>
          <w:sz w:val="20"/>
          <w:vertAlign w:val="superscript"/>
          <w:lang w:val="en-US" w:eastAsia="zh-CN"/>
        </w:rPr>
        <w:t>th</w:t>
      </w:r>
      <w:r>
        <w:rPr>
          <w:rFonts w:hint="eastAsia" w:cs="Arial"/>
          <w:sz w:val="20"/>
        </w:rPr>
        <w:t xml:space="preserve"> - 24</w:t>
      </w:r>
      <w:r>
        <w:rPr>
          <w:rFonts w:hint="eastAsia" w:eastAsia="宋体" w:cs="Arial"/>
          <w:sz w:val="20"/>
          <w:vertAlign w:val="superscript"/>
          <w:lang w:val="en-US" w:eastAsia="zh-CN"/>
        </w:rPr>
        <w:t>th</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8.8.6</w:t>
      </w:r>
      <w:bookmarkStart w:id="4" w:name="_GoBack"/>
      <w:bookmarkEnd w:id="4"/>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cs="Arial" w:eastAsiaTheme="minorEastAsia"/>
          <w:sz w:val="20"/>
          <w:lang w:val="en-US" w:eastAsia="zh-CN"/>
        </w:rPr>
        <w:t>Considerations on cell reselection enhancements from E-UTRAN TN to NR-NTN</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pStyle w:val="109"/>
        <w:widowControl w:val="0"/>
        <w:numPr>
          <w:ilvl w:val="0"/>
          <w:numId w:val="0"/>
        </w:numPr>
        <w:spacing w:after="0"/>
        <w:jc w:val="both"/>
      </w:pPr>
      <w:r>
        <w:rPr>
          <w:rFonts w:hint="default" w:ascii="Arial" w:hAnsi="Arial" w:eastAsia="仿宋" w:cs="Arial"/>
          <w:sz w:val="20"/>
          <w:szCs w:val="20"/>
          <w:lang w:val="en-US" w:eastAsia="zh-CN"/>
        </w:rPr>
        <w:t>Ther</w:t>
      </w:r>
      <w:r>
        <w:rPr>
          <w:rFonts w:hint="eastAsia" w:ascii="Arial" w:hAnsi="Arial" w:eastAsia="仿宋" w:cs="Arial"/>
          <w:sz w:val="20"/>
          <w:szCs w:val="20"/>
          <w:lang w:val="en-US" w:eastAsia="zh-CN"/>
        </w:rPr>
        <w:t>e were some discussions on LTE to NR NTN mobility in last RAN2 meeting, and agreements were reached as following [1]:</w:t>
      </w:r>
    </w:p>
    <w:p>
      <w:pPr>
        <w:pStyle w:val="6"/>
        <w:pBdr>
          <w:top w:val="single" w:color="auto" w:sz="4" w:space="1"/>
          <w:left w:val="single" w:color="auto" w:sz="4" w:space="4"/>
          <w:bottom w:val="single" w:color="auto" w:sz="4" w:space="1"/>
          <w:right w:val="single" w:color="auto" w:sz="4" w:space="4"/>
        </w:pBdr>
      </w:pPr>
      <w:r>
        <w:t>Agreement:</w:t>
      </w:r>
    </w:p>
    <w:p>
      <w:pPr>
        <w:pStyle w:val="6"/>
        <w:numPr>
          <w:ilvl w:val="0"/>
          <w:numId w:val="11"/>
        </w:numPr>
        <w:pBdr>
          <w:top w:val="single" w:color="auto" w:sz="4" w:space="1"/>
          <w:left w:val="single" w:color="auto" w:sz="4" w:space="4"/>
          <w:bottom w:val="single" w:color="auto" w:sz="4" w:space="1"/>
          <w:right w:val="single" w:color="auto" w:sz="4" w:space="4"/>
        </w:pBdr>
      </w:pPr>
      <w:r>
        <w:t>For idle mode mobility from LTE to NR NTN, at least normal LTE UE are in scope. Can come back in the next meeting to check if also eMTC UE and NB-IoT UEs could also be considered in scope</w:t>
      </w:r>
    </w:p>
    <w:p>
      <w:pPr>
        <w:pStyle w:val="6"/>
        <w:pBdr>
          <w:top w:val="single" w:color="auto" w:sz="4" w:space="1"/>
          <w:left w:val="single" w:color="auto" w:sz="4" w:space="4"/>
          <w:bottom w:val="single" w:color="auto" w:sz="4" w:space="1"/>
          <w:right w:val="single" w:color="auto" w:sz="4" w:space="4"/>
        </w:pBdr>
        <w:ind w:left="1259" w:firstLine="0"/>
      </w:pPr>
      <w:r>
        <w:t>Working Assumption:</w:t>
      </w:r>
    </w:p>
    <w:p>
      <w:pPr>
        <w:pStyle w:val="6"/>
        <w:numPr>
          <w:ilvl w:val="0"/>
          <w:numId w:val="11"/>
        </w:numPr>
        <w:pBdr>
          <w:top w:val="single" w:color="auto" w:sz="4" w:space="1"/>
          <w:left w:val="single" w:color="auto" w:sz="4" w:space="4"/>
          <w:bottom w:val="single" w:color="auto" w:sz="4" w:space="1"/>
          <w:right w:val="single" w:color="auto" w:sz="4" w:space="4"/>
        </w:pBdr>
      </w:pPr>
      <w:r>
        <w:t>We don’t introduce multiple SMTCs in LTE</w:t>
      </w:r>
    </w:p>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 </w:t>
      </w:r>
      <w:r>
        <w:rPr>
          <w:rFonts w:hint="eastAsia" w:ascii="Arial" w:hAnsi="Arial" w:eastAsia="仿宋" w:cs="Arial"/>
          <w:lang w:val="en-US" w:eastAsia="zh-CN"/>
        </w:rPr>
        <w:t xml:space="preserve">further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ascii="Arial" w:hAnsi="Arial" w:eastAsia="仿宋" w:cs="Arial"/>
          <w:lang w:val="en-US" w:eastAsia="zh-CN"/>
        </w:rPr>
        <w:t>cell reselection</w:t>
      </w:r>
      <w:r>
        <w:rPr>
          <w:rFonts w:hint="default" w:ascii="Arial" w:hAnsi="Arial" w:eastAsia="仿宋" w:cs="Arial"/>
        </w:rPr>
        <w:t xml:space="preserve"> enhancements </w:t>
      </w:r>
      <w:r>
        <w:rPr>
          <w:rFonts w:hint="eastAsia" w:ascii="Arial" w:hAnsi="Arial" w:eastAsia="仿宋" w:cs="Arial"/>
          <w:lang w:val="en-US" w:eastAsia="zh-CN"/>
        </w:rPr>
        <w:t>from</w:t>
      </w:r>
      <w:r>
        <w:rPr>
          <w:rFonts w:hint="default" w:ascii="Arial" w:hAnsi="Arial" w:eastAsia="仿宋" w:cs="Arial"/>
        </w:rPr>
        <w:t xml:space="preserve"> E-UTRAN TN to NR-NTN.</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eastAsia" w:eastAsiaTheme="minorEastAsia"/>
          <w:bCs/>
          <w:lang w:val="en-US" w:eastAsia="zh-CN"/>
        </w:rPr>
      </w:pPr>
      <w:r>
        <w:rPr>
          <w:rFonts w:hint="eastAsia" w:eastAsia="宋体"/>
          <w:lang w:val="en-US" w:eastAsia="zh-CN"/>
        </w:rPr>
        <w:t>UE category</w:t>
      </w:r>
    </w:p>
    <w:p>
      <w:pPr>
        <w:pStyle w:val="60"/>
        <w:spacing w:after="0"/>
        <w:ind w:left="0" w:firstLine="0"/>
        <w:rPr>
          <w:rFonts w:hint="default" w:eastAsia="宋体"/>
          <w:lang w:val="en-US" w:eastAsia="zh-CN"/>
        </w:rPr>
      </w:pPr>
      <w:r>
        <w:rPr>
          <w:rFonts w:hint="eastAsia" w:eastAsia="宋体"/>
          <w:lang w:val="en-US" w:eastAsia="zh-CN"/>
        </w:rPr>
        <w:t xml:space="preserve">In last meeting, we agreed to support </w:t>
      </w:r>
      <w:r>
        <w:t>normal LTE UE</w:t>
      </w:r>
      <w:r>
        <w:rPr>
          <w:rFonts w:hint="eastAsia" w:eastAsia="宋体"/>
          <w:lang w:val="en-US" w:eastAsia="zh-CN"/>
        </w:rPr>
        <w:t xml:space="preserve"> at least. And postponed to this meeting to check if also eMTC UE and NB-IoT UEs could also be considered in scope. From our perspective, per the description in the WID scope [2], the reason why this WID exists is that the discussion of the NR NTN topic in R17 and R18 lacks idle mode mobility discussion between E-UTRA TN and NR NTN, which does not need to involve NB-IoT UEs and eMTC UEs. Therefore, eMTC UE and NB-IoT UE are not discussed in LTE to NR NTN mobility scope.</w:t>
      </w:r>
    </w:p>
    <w:p>
      <w:pPr>
        <w:pStyle w:val="60"/>
        <w:spacing w:after="0"/>
        <w:ind w:left="0" w:firstLine="0"/>
        <w:rPr>
          <w:rFonts w:hint="default" w:eastAsia="宋体"/>
          <w:b/>
          <w:bCs/>
          <w:lang w:val="en-US" w:eastAsia="zh-CN"/>
        </w:rPr>
      </w:pPr>
      <w:r>
        <w:rPr>
          <w:rFonts w:hint="eastAsia" w:eastAsia="宋体"/>
          <w:b/>
          <w:bCs/>
          <w:lang w:val="en-US" w:eastAsia="zh-CN"/>
        </w:rPr>
        <w:t>Proposal 1: It is proposed that eMTC UE and NB-IoT UE are not considered in the scope.</w:t>
      </w:r>
    </w:p>
    <w:p>
      <w:pPr>
        <w:pStyle w:val="3"/>
        <w:bidi w:val="0"/>
        <w:rPr>
          <w:rFonts w:hint="eastAsia" w:eastAsiaTheme="minorEastAsia"/>
          <w:bCs/>
          <w:lang w:val="en-US" w:eastAsia="zh-CN"/>
        </w:rPr>
      </w:pPr>
      <w:r>
        <w:rPr>
          <w:rFonts w:hint="eastAsia" w:eastAsia="宋体"/>
          <w:lang w:val="en-US" w:eastAsia="zh-CN"/>
        </w:rPr>
        <w:t>NR NTN neighbor cells information</w:t>
      </w:r>
    </w:p>
    <w:p>
      <w:pPr>
        <w:pStyle w:val="60"/>
        <w:spacing w:after="0"/>
        <w:ind w:left="0" w:firstLine="0"/>
        <w:rPr>
          <w:rFonts w:hint="eastAsia" w:eastAsia="宋体"/>
          <w:lang w:val="en-US" w:eastAsia="zh-CN"/>
        </w:rPr>
      </w:pPr>
      <w:r>
        <w:rPr>
          <w:rFonts w:hint="eastAsia" w:eastAsiaTheme="minorEastAsia"/>
          <w:bCs/>
          <w:lang w:val="en-US" w:eastAsia="zh-CN"/>
        </w:rPr>
        <w:t xml:space="preserve">To enable cell reselection from E-UTRA TN to NR NTN, network needs to provide assistance information (e.g. satellite ephemeris) for NR NTN neighbor cells in system information block. As the current TS.36.331 spec., common information for inter-RAT cell reselection is included in IE </w:t>
      </w:r>
      <w:r>
        <w:rPr>
          <w:rFonts w:hint="eastAsia" w:eastAsiaTheme="minorEastAsia"/>
          <w:bCs/>
          <w:i/>
          <w:iCs/>
          <w:lang w:val="en-US" w:eastAsia="zh-CN"/>
        </w:rPr>
        <w:t>SystemInformationBlockType3</w:t>
      </w:r>
      <w:r>
        <w:rPr>
          <w:rFonts w:hint="eastAsia" w:eastAsiaTheme="minorEastAsia"/>
          <w:bCs/>
          <w:lang w:val="en-US" w:eastAsia="zh-CN"/>
        </w:rPr>
        <w:t xml:space="preserve">, and </w:t>
      </w:r>
      <w:r>
        <w:rPr>
          <w:i/>
        </w:rPr>
        <w:t>SystemInformationBlockType24</w:t>
      </w:r>
      <w:r>
        <w:rPr>
          <w:rFonts w:hint="eastAsia" w:eastAsia="宋体"/>
          <w:i/>
          <w:lang w:val="en-US" w:eastAsia="zh-CN"/>
        </w:rPr>
        <w:t xml:space="preserve"> </w:t>
      </w:r>
      <w:r>
        <w:rPr>
          <w:iCs/>
        </w:rPr>
        <w:t xml:space="preserve">contains information relevant for inter-RAT cell re-selection (i.e. information about </w:t>
      </w:r>
      <w:r>
        <w:t>NR frequencies and NR neighbouring cells relevant for cell re-selection)</w:t>
      </w:r>
      <w:r>
        <w:rPr>
          <w:rFonts w:hint="eastAsia" w:eastAsia="宋体"/>
          <w:lang w:val="en-US" w:eastAsia="zh-CN"/>
        </w:rPr>
        <w:t xml:space="preserve">. We could consider to provide NR neighbor satellite information in the </w:t>
      </w:r>
      <w:r>
        <w:rPr>
          <w:rFonts w:hint="eastAsia" w:eastAsia="宋体"/>
          <w:i/>
          <w:iCs/>
          <w:lang w:val="en-US" w:eastAsia="zh-CN"/>
        </w:rPr>
        <w:t>SIB24</w:t>
      </w:r>
      <w:r>
        <w:rPr>
          <w:rFonts w:hint="eastAsia" w:eastAsia="宋体"/>
          <w:lang w:val="en-US" w:eastAsia="zh-CN"/>
        </w:rPr>
        <w:t xml:space="preserve"> if available, that is </w:t>
      </w:r>
      <w:r>
        <w:rPr>
          <w:i/>
          <w:iCs/>
        </w:rPr>
        <w:t>NTN-NeighCellConfigList</w:t>
      </w:r>
      <w:r>
        <w:rPr>
          <w:rFonts w:hint="eastAsia" w:eastAsia="宋体"/>
          <w:lang w:val="en-US" w:eastAsia="zh-CN"/>
        </w:rPr>
        <w:t xml:space="preserve"> in the </w:t>
      </w:r>
      <w:r>
        <w:rPr>
          <w:rFonts w:hint="eastAsia" w:eastAsia="宋体"/>
          <w:i/>
          <w:iCs/>
          <w:lang w:val="en-US" w:eastAsia="zh-CN"/>
        </w:rPr>
        <w:t>SIB19</w:t>
      </w:r>
      <w:r>
        <w:rPr>
          <w:rFonts w:hint="eastAsia" w:eastAsia="宋体"/>
          <w:lang w:val="en-US" w:eastAsia="zh-CN"/>
        </w:rPr>
        <w:t xml:space="preserve"> of NR NTN. </w:t>
      </w:r>
    </w:p>
    <w:p>
      <w:pPr>
        <w:pStyle w:val="60"/>
        <w:spacing w:after="0"/>
        <w:ind w:left="0" w:firstLine="0"/>
        <w:rPr>
          <w:rFonts w:hint="eastAsia" w:eastAsia="宋体"/>
          <w:lang w:val="en-US" w:eastAsia="zh-CN"/>
        </w:rPr>
      </w:pPr>
      <w:r>
        <w:rPr>
          <w:rFonts w:hint="eastAsia" w:eastAsiaTheme="minorEastAsia"/>
          <w:b/>
          <w:bCs w:val="0"/>
          <w:lang w:val="en-US" w:eastAsia="zh-CN"/>
        </w:rPr>
        <w:t xml:space="preserve">Proposal 2: It is proposed to provide neighbor cells information similar to </w:t>
      </w:r>
      <w:r>
        <w:rPr>
          <w:rFonts w:hint="eastAsia" w:eastAsiaTheme="minorEastAsia"/>
          <w:b/>
          <w:bCs w:val="0"/>
          <w:i/>
          <w:iCs/>
          <w:lang w:val="en-US" w:eastAsia="zh-CN"/>
        </w:rPr>
        <w:t>NTN-NeighCellConfigList</w:t>
      </w:r>
      <w:r>
        <w:rPr>
          <w:rFonts w:hint="eastAsia" w:eastAsiaTheme="minorEastAsia"/>
          <w:b/>
          <w:bCs w:val="0"/>
          <w:lang w:val="en-US" w:eastAsia="zh-CN"/>
        </w:rPr>
        <w:t xml:space="preserve"> in the </w:t>
      </w:r>
      <w:r>
        <w:rPr>
          <w:rFonts w:hint="eastAsia" w:eastAsiaTheme="minorEastAsia"/>
          <w:b/>
          <w:bCs w:val="0"/>
          <w:i/>
          <w:iCs/>
          <w:lang w:val="en-US" w:eastAsia="zh-CN"/>
        </w:rPr>
        <w:t>SIB19</w:t>
      </w:r>
      <w:r>
        <w:rPr>
          <w:rFonts w:hint="eastAsia" w:eastAsiaTheme="minorEastAsia"/>
          <w:b/>
          <w:bCs w:val="0"/>
          <w:lang w:val="en-US" w:eastAsia="zh-CN"/>
        </w:rPr>
        <w:t xml:space="preserve"> of NR NTN.</w:t>
      </w:r>
    </w:p>
    <w:p>
      <w:pPr>
        <w:pStyle w:val="3"/>
        <w:bidi w:val="0"/>
        <w:rPr>
          <w:rFonts w:hint="eastAsia" w:eastAsia="宋体"/>
          <w:lang w:val="en-US" w:eastAsia="zh-CN"/>
        </w:rPr>
      </w:pPr>
      <w:r>
        <w:rPr>
          <w:rFonts w:hint="eastAsia" w:eastAsiaTheme="minorEastAsia"/>
          <w:bCs/>
          <w:lang w:val="en-US" w:eastAsia="zh-CN"/>
        </w:rPr>
        <w:t>Old or new SIB</w:t>
      </w:r>
    </w:p>
    <w:p>
      <w:pPr>
        <w:pStyle w:val="60"/>
        <w:spacing w:after="0"/>
        <w:ind w:left="0" w:firstLine="0"/>
        <w:rPr>
          <w:rFonts w:hint="eastAsia" w:eastAsiaTheme="minorEastAsia"/>
          <w:bCs/>
          <w:lang w:val="en-US" w:eastAsia="zh-CN"/>
        </w:rPr>
      </w:pPr>
      <w:r>
        <w:rPr>
          <w:rFonts w:hint="eastAsia" w:eastAsia="宋体"/>
          <w:lang w:val="en-US" w:eastAsia="zh-CN"/>
        </w:rPr>
        <w:t xml:space="preserve">However, considering the limited SIB size for LTE, i.e. the maximum SIB and SI message size is from </w:t>
      </w:r>
      <w:r>
        <w:rPr>
          <w:b/>
          <w:bCs/>
        </w:rPr>
        <w:t>680 bits</w:t>
      </w:r>
      <w:r>
        <w:rPr>
          <w:rFonts w:hint="eastAsia" w:eastAsia="宋体"/>
          <w:lang w:val="en-US" w:eastAsia="zh-CN"/>
        </w:rPr>
        <w:t xml:space="preserve"> (NB-IoT) to </w:t>
      </w:r>
      <w:r>
        <w:rPr>
          <w:rFonts w:hint="eastAsia" w:eastAsia="宋体"/>
          <w:b/>
          <w:bCs/>
          <w:lang w:val="en-US" w:eastAsia="zh-CN"/>
        </w:rPr>
        <w:t>2216 bits (277 bytes)</w:t>
      </w:r>
      <w:r>
        <w:rPr>
          <w:rFonts w:hint="eastAsia" w:eastAsia="宋体"/>
          <w:lang w:val="en-US" w:eastAsia="zh-CN"/>
        </w:rPr>
        <w:t xml:space="preserve"> (DCI format 1A used), the existing </w:t>
      </w:r>
      <w:r>
        <w:rPr>
          <w:i/>
        </w:rPr>
        <w:t>SystemInformationBlockType24</w:t>
      </w:r>
      <w:r>
        <w:rPr>
          <w:rFonts w:hint="eastAsia" w:eastAsia="宋体"/>
          <w:i/>
          <w:lang w:val="en-US" w:eastAsia="zh-CN"/>
        </w:rPr>
        <w:t xml:space="preserve"> </w:t>
      </w:r>
      <w:r>
        <w:rPr>
          <w:rFonts w:hint="eastAsia" w:eastAsia="宋体"/>
          <w:i w:val="0"/>
          <w:iCs/>
          <w:lang w:val="en-US" w:eastAsia="zh-CN"/>
        </w:rPr>
        <w:t xml:space="preserve">may be not enough to convey the </w:t>
      </w:r>
      <w:r>
        <w:rPr>
          <w:rFonts w:hint="eastAsia" w:eastAsia="宋体"/>
          <w:i/>
          <w:iCs w:val="0"/>
          <w:lang w:val="en-US" w:eastAsia="zh-CN"/>
        </w:rPr>
        <w:t>NTN-NeighCellConfigList</w:t>
      </w:r>
      <w:r>
        <w:rPr>
          <w:rFonts w:hint="eastAsia" w:eastAsia="宋体"/>
          <w:i w:val="0"/>
          <w:iCs w:val="0"/>
          <w:lang w:val="en-US" w:eastAsia="zh-CN"/>
        </w:rPr>
        <w:t xml:space="preserve">, especially the satellite ephemeris, therefore from our perspective, a new SIB other than leveraging existing SIB may be better to provide the NR NTN </w:t>
      </w:r>
      <w:r>
        <w:rPr>
          <w:rFonts w:hint="eastAsia" w:eastAsiaTheme="minorEastAsia"/>
          <w:bCs/>
          <w:lang w:val="en-US" w:eastAsia="zh-CN"/>
        </w:rPr>
        <w:t>neighbor cells information.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3: A new SIB other than leveraging existing SIB may be better to provide the NR NTN neighbor cells information due to the limited LTE SIB size.</w:t>
      </w:r>
    </w:p>
    <w:p>
      <w:pPr>
        <w:pStyle w:val="3"/>
        <w:bidi w:val="0"/>
        <w:rPr>
          <w:rFonts w:hint="eastAsia" w:eastAsia="宋体"/>
          <w:lang w:val="en-US" w:eastAsia="zh-CN"/>
        </w:rPr>
      </w:pPr>
      <w:r>
        <w:rPr>
          <w:rFonts w:hint="eastAsia" w:eastAsia="宋体"/>
          <w:lang w:val="en-US" w:eastAsia="zh-CN"/>
        </w:rPr>
        <w:t>Cell reselection priority between</w:t>
      </w:r>
      <w:r>
        <w:t xml:space="preserve"> </w:t>
      </w:r>
      <w:r>
        <w:rPr>
          <w:rFonts w:hint="eastAsia" w:eastAsia="宋体"/>
          <w:lang w:val="en-US" w:eastAsia="zh-CN"/>
        </w:rPr>
        <w:t xml:space="preserve">E-UTRA </w:t>
      </w:r>
      <w:r>
        <w:t xml:space="preserve">TN </w:t>
      </w:r>
      <w:r>
        <w:rPr>
          <w:rFonts w:hint="eastAsia" w:eastAsia="宋体"/>
          <w:lang w:val="en-US" w:eastAsia="zh-CN"/>
        </w:rPr>
        <w:t>and</w:t>
      </w:r>
      <w:r>
        <w:t xml:space="preserve"> </w:t>
      </w:r>
      <w:r>
        <w:rPr>
          <w:rFonts w:hint="eastAsia" w:eastAsia="宋体"/>
          <w:lang w:val="en-US" w:eastAsia="zh-CN"/>
        </w:rPr>
        <w:t xml:space="preserve">NR </w:t>
      </w:r>
      <w:r>
        <w:t>NTN</w:t>
      </w:r>
    </w:p>
    <w:p>
      <w:pPr>
        <w:pStyle w:val="60"/>
        <w:spacing w:after="0"/>
        <w:ind w:left="0" w:firstLine="0"/>
        <w:rPr>
          <w:rFonts w:hint="eastAsia" w:cs="Arial"/>
          <w:color w:val="000000"/>
          <w:lang w:val="en-US" w:eastAsia="zh-CN"/>
        </w:rPr>
      </w:pPr>
      <w:r>
        <w:rPr>
          <w:rFonts w:hint="eastAsia" w:eastAsiaTheme="minorEastAsia"/>
          <w:b w:val="0"/>
          <w:bCs/>
          <w:lang w:val="en-US" w:eastAsia="zh-CN"/>
        </w:rPr>
        <w:t xml:space="preserve">In NR NTN R17, we have discussed how to </w:t>
      </w:r>
      <w:r>
        <w:rPr>
          <w:rFonts w:ascii="Arial" w:hAnsi="Arial" w:cs="Arial"/>
          <w:color w:val="000000"/>
          <w:lang w:eastAsia="zh-CN"/>
        </w:rPr>
        <w:t>prioritize TN over NTN</w:t>
      </w:r>
      <w:r>
        <w:rPr>
          <w:rFonts w:hint="eastAsia" w:cs="Arial"/>
          <w:color w:val="000000"/>
          <w:lang w:val="en-US" w:eastAsia="zh-CN"/>
        </w:rPr>
        <w:t>, and some options are as follows [3]:</w:t>
      </w:r>
    </w:p>
    <w:p>
      <w:pPr>
        <w:pStyle w:val="109"/>
        <w:widowControl w:val="0"/>
        <w:numPr>
          <w:ilvl w:val="0"/>
          <w:numId w:val="12"/>
        </w:numPr>
        <w:spacing w:after="160" w:line="259" w:lineRule="auto"/>
        <w:contextualSpacing w:val="0"/>
        <w:jc w:val="both"/>
        <w:rPr>
          <w:rFonts w:ascii="Arial" w:hAnsi="Arial" w:cs="Arial"/>
          <w:bCs/>
        </w:rPr>
      </w:pPr>
      <w:r>
        <w:rPr>
          <w:rFonts w:ascii="Arial" w:hAnsi="Arial" w:cs="Arial"/>
          <w:b/>
          <w:bCs w:val="0"/>
        </w:rPr>
        <w:t>Option 1</w:t>
      </w:r>
      <w:r>
        <w:rPr>
          <w:rFonts w:hint="eastAsia" w:ascii="Arial" w:hAnsi="Arial" w:cs="Arial"/>
          <w:b/>
          <w:bCs w:val="0"/>
        </w:rPr>
        <w:t>:</w:t>
      </w:r>
      <w:r>
        <w:rPr>
          <w:rFonts w:ascii="Arial" w:hAnsi="Arial" w:cs="Arial"/>
          <w:b/>
          <w:bCs w:val="0"/>
        </w:rPr>
        <w:t xml:space="preserve"> </w:t>
      </w:r>
      <w:r>
        <w:rPr>
          <w:rFonts w:ascii="Arial" w:hAnsi="Arial" w:cs="Arial"/>
          <w:bCs/>
        </w:rPr>
        <w:t>It is “hard” coded in the specification, e.g. in 38.304, that UE always prioritizes TN cell in cell reselection.</w:t>
      </w:r>
    </w:p>
    <w:p>
      <w:pPr>
        <w:pStyle w:val="109"/>
        <w:widowControl w:val="0"/>
        <w:numPr>
          <w:ilvl w:val="0"/>
          <w:numId w:val="12"/>
        </w:numPr>
        <w:spacing w:after="160" w:line="259" w:lineRule="auto"/>
        <w:contextualSpacing w:val="0"/>
        <w:jc w:val="both"/>
        <w:rPr>
          <w:rFonts w:ascii="Arial" w:hAnsi="Arial" w:cs="Arial"/>
          <w:bCs/>
        </w:rPr>
      </w:pPr>
      <w:r>
        <w:rPr>
          <w:rFonts w:hint="eastAsia" w:ascii="Arial" w:hAnsi="Arial" w:cs="Arial"/>
          <w:b/>
          <w:bCs w:val="0"/>
        </w:rPr>
        <w:t>Option 2:</w:t>
      </w:r>
      <w:r>
        <w:rPr>
          <w:rFonts w:hint="eastAsia" w:ascii="Arial" w:hAnsi="Arial" w:cs="Arial"/>
          <w:bCs/>
        </w:rPr>
        <w:t xml:space="preserve"> Indicate in system information of TN or NTN cell or both</w:t>
      </w:r>
      <w:r>
        <w:rPr>
          <w:rFonts w:ascii="Arial" w:hAnsi="Arial" w:cs="Arial"/>
          <w:bCs/>
        </w:rPr>
        <w:t xml:space="preserve"> explicitly</w:t>
      </w:r>
      <w:r>
        <w:rPr>
          <w:rFonts w:hint="eastAsia" w:ascii="Arial" w:hAnsi="Arial" w:cs="Arial"/>
          <w:bCs/>
        </w:rPr>
        <w:t xml:space="preserve">, the need to prioritize TN in the area the NTN/TN cells are covering. </w:t>
      </w:r>
    </w:p>
    <w:p>
      <w:pPr>
        <w:pStyle w:val="109"/>
        <w:widowControl w:val="0"/>
        <w:numPr>
          <w:ilvl w:val="0"/>
          <w:numId w:val="12"/>
        </w:numPr>
        <w:spacing w:after="160" w:line="259" w:lineRule="auto"/>
        <w:contextualSpacing w:val="0"/>
        <w:jc w:val="both"/>
        <w:rPr>
          <w:rFonts w:ascii="Arial" w:hAnsi="Arial" w:cs="Arial"/>
          <w:bCs/>
        </w:rPr>
      </w:pPr>
      <w:r>
        <w:rPr>
          <w:rFonts w:hint="eastAsia" w:ascii="Arial" w:hAnsi="Arial" w:cs="Arial"/>
          <w:b/>
          <w:bCs w:val="0"/>
        </w:rPr>
        <w:t>Option 3:</w:t>
      </w:r>
      <w:r>
        <w:rPr>
          <w:rFonts w:hint="eastAsia" w:ascii="Arial" w:hAnsi="Arial" w:cs="Arial"/>
          <w:bCs/>
        </w:rPr>
        <w:t xml:space="preserve"> Broadcast in system </w:t>
      </w:r>
      <w:r>
        <w:rPr>
          <w:rFonts w:ascii="Arial" w:hAnsi="Arial" w:cs="Arial"/>
          <w:bCs/>
        </w:rPr>
        <w:t>information</w:t>
      </w:r>
      <w:r>
        <w:rPr>
          <w:rFonts w:hint="eastAsia" w:ascii="Arial" w:hAnsi="Arial" w:cs="Arial"/>
          <w:bCs/>
        </w:rPr>
        <w:t xml:space="preserve"> a TN or NTN specific offset to be applied to RSRP measurement result for cell quality</w:t>
      </w:r>
      <w:r>
        <w:rPr>
          <w:rFonts w:ascii="Arial" w:hAnsi="Arial" w:cs="Arial"/>
          <w:bCs/>
        </w:rPr>
        <w:t xml:space="preserve"> so that TN cell will always rank higher.</w:t>
      </w:r>
    </w:p>
    <w:p>
      <w:pPr>
        <w:pStyle w:val="109"/>
        <w:widowControl w:val="0"/>
        <w:numPr>
          <w:ilvl w:val="0"/>
          <w:numId w:val="12"/>
        </w:numPr>
        <w:spacing w:after="160" w:line="259" w:lineRule="auto"/>
        <w:contextualSpacing w:val="0"/>
        <w:jc w:val="both"/>
        <w:rPr>
          <w:rFonts w:ascii="Arial" w:hAnsi="Arial" w:eastAsia="Yu Mincho" w:cs="Arial"/>
          <w:b/>
        </w:rPr>
      </w:pPr>
      <w:r>
        <w:rPr>
          <w:rFonts w:hint="eastAsia" w:ascii="Arial" w:hAnsi="Arial" w:cs="Arial"/>
          <w:b/>
          <w:bCs w:val="0"/>
        </w:rPr>
        <w:t>Option 4:</w:t>
      </w:r>
      <w:r>
        <w:rPr>
          <w:rFonts w:hint="eastAsia" w:ascii="Arial" w:hAnsi="Arial" w:cs="Arial"/>
          <w:bCs/>
        </w:rPr>
        <w:t xml:space="preserve"> UE</w:t>
      </w:r>
      <w:r>
        <w:rPr>
          <w:rFonts w:ascii="Arial" w:hAnsi="Arial" w:cs="Arial"/>
          <w:bCs/>
        </w:rPr>
        <w:t>’</w:t>
      </w:r>
      <w:r>
        <w:rPr>
          <w:rFonts w:hint="eastAsia" w:ascii="Arial" w:hAnsi="Arial" w:cs="Arial"/>
          <w:bCs/>
        </w:rPr>
        <w:t xml:space="preserve">s relaxed measurement mode is impacted to prioritize TN. For example, if UE detects TN cell UE stops any relaxed measurement mode for TN UE might have applied. </w:t>
      </w:r>
    </w:p>
    <w:p>
      <w:pPr>
        <w:pStyle w:val="60"/>
        <w:spacing w:after="0"/>
        <w:ind w:left="0" w:firstLine="0"/>
        <w:rPr>
          <w:rFonts w:hint="eastAsia" w:eastAsia="宋体"/>
          <w:lang w:val="en-US" w:eastAsia="zh-CN"/>
        </w:rPr>
      </w:pPr>
      <w:r>
        <w:rPr>
          <w:rFonts w:hint="eastAsia" w:cs="Arial"/>
          <w:color w:val="000000"/>
          <w:lang w:val="en-US" w:eastAsia="zh-CN"/>
        </w:rPr>
        <w:t xml:space="preserve">However, most companies prefer no further enhancement and </w:t>
      </w:r>
      <w:r>
        <w:rPr>
          <w:rFonts w:hint="eastAsia" w:eastAsia="Malgun Gothic"/>
          <w:lang w:eastAsia="zh-CN"/>
        </w:rPr>
        <w:t>l</w:t>
      </w:r>
      <w:r>
        <w:rPr>
          <w:rFonts w:eastAsia="Malgun Gothic"/>
          <w:lang w:eastAsia="zh-CN"/>
        </w:rPr>
        <w:t xml:space="preserve">egacy </w:t>
      </w:r>
      <w:r>
        <w:rPr>
          <w:rFonts w:hint="eastAsia" w:eastAsia="Malgun Gothic"/>
          <w:lang w:val="en-US" w:eastAsia="zh-CN"/>
        </w:rPr>
        <w:t xml:space="preserve">cell reselection </w:t>
      </w:r>
      <w:r>
        <w:rPr>
          <w:rFonts w:eastAsia="Malgun Gothic"/>
          <w:lang w:eastAsia="zh-CN"/>
        </w:rPr>
        <w:t>prioritization (carrier frequency based)</w:t>
      </w:r>
      <w:r>
        <w:rPr>
          <w:rFonts w:hint="eastAsia" w:eastAsia="Malgun Gothic"/>
          <w:lang w:val="en-US" w:eastAsia="zh-CN"/>
        </w:rPr>
        <w:t xml:space="preserve"> mechanism</w:t>
      </w:r>
      <w:r>
        <w:rPr>
          <w:rFonts w:eastAsia="Malgun Gothic"/>
          <w:lang w:val="en-US" w:eastAsia="ko-KR"/>
        </w:rPr>
        <w:t xml:space="preserve"> is sufficient</w:t>
      </w:r>
      <w:r>
        <w:rPr>
          <w:rFonts w:hint="eastAsia" w:eastAsia="宋体"/>
          <w:lang w:val="en-US" w:eastAsia="zh-CN"/>
        </w:rPr>
        <w:t>. Agreement is reached as following [4]:</w:t>
      </w:r>
    </w:p>
    <w:p>
      <w:pPr>
        <w:pStyle w:val="6"/>
        <w:numPr>
          <w:ilvl w:val="0"/>
          <w:numId w:val="13"/>
        </w:numPr>
        <w:pBdr>
          <w:top w:val="single" w:color="auto" w:sz="4" w:space="1"/>
          <w:left w:val="single" w:color="auto" w:sz="4" w:space="4"/>
          <w:bottom w:val="single" w:color="auto" w:sz="4" w:space="1"/>
          <w:right w:val="single" w:color="auto" w:sz="4" w:space="4"/>
        </w:pBdr>
      </w:pPr>
      <w:r>
        <w:t>No further enhancement on cell reselection procedure to support TN prioritization over NTN in Rel-17.</w:t>
      </w:r>
    </w:p>
    <w:p>
      <w:pPr>
        <w:pStyle w:val="60"/>
        <w:spacing w:after="0"/>
        <w:ind w:left="0" w:firstLine="0"/>
      </w:pPr>
      <w:r>
        <w:rPr>
          <w:rFonts w:hint="eastAsia" w:eastAsia="宋体"/>
          <w:lang w:val="en-US" w:eastAsia="zh-CN"/>
        </w:rPr>
        <w:t>Then in NR NTN R18, we also discussed cell reselection priority between TN and NTN, in[5], it provides some solution that the priority can be configured per slicing, per service type, per mobility state, or per UE type considering different services or different mobility states. However, companies also think there is no need to introduce additional enhancements and agreements are achieved as follows [6]:</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4"/>
        </w:numPr>
        <w:pBdr>
          <w:top w:val="single" w:color="auto" w:sz="4" w:space="1"/>
          <w:left w:val="single" w:color="auto" w:sz="4" w:space="4"/>
          <w:bottom w:val="single" w:color="auto" w:sz="4" w:space="1"/>
          <w:right w:val="single" w:color="auto" w:sz="4" w:space="4"/>
        </w:pBdr>
      </w:pPr>
      <w:r>
        <w:t xml:space="preserve">We don’t introduce additional cell reselection prioritization rules for NTN vs TN in Rel-18 (e.g. per service type, per mobility state, or per UE type) on top of what specified in Rel-17 </w:t>
      </w:r>
    </w:p>
    <w:p>
      <w:pPr>
        <w:pStyle w:val="6"/>
        <w:ind w:left="0" w:leftChars="0" w:firstLine="0" w:firstLineChars="0"/>
        <w:rPr>
          <w:rFonts w:hint="default" w:eastAsia="宋体"/>
          <w:lang w:val="en-US" w:eastAsia="zh-CN"/>
        </w:rPr>
      </w:pPr>
      <w:r>
        <w:rPr>
          <w:rFonts w:hint="eastAsia" w:eastAsia="宋体"/>
          <w:lang w:val="en-US" w:eastAsia="zh-CN"/>
        </w:rPr>
        <w:t xml:space="preserve">Similarly, for cell reselection priority between E-UTRA </w:t>
      </w:r>
      <w:r>
        <w:t>TN</w:t>
      </w:r>
      <w:r>
        <w:rPr>
          <w:rFonts w:hint="eastAsia" w:eastAsia="宋体"/>
          <w:lang w:val="en-US" w:eastAsia="zh-CN"/>
        </w:rPr>
        <w:t xml:space="preserve"> and NR NTN, legacy frequency priority scheme could also be the baseline as mentioned above for NR NTN vs. TN.</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4: </w:t>
      </w:r>
      <w:r>
        <w:rPr>
          <w:rFonts w:hint="eastAsia" w:eastAsia="宋体"/>
          <w:b/>
          <w:bCs/>
          <w:lang w:val="en-US" w:eastAsia="zh-CN"/>
        </w:rPr>
        <w:t>Legacy frequency priority mechanism could be the baseline for cell reselection priority between E-UTRA TN and NR NTN.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rPr>
        <w:t>mobility enhancements for E-UTRAN TN to NR-NTN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default" w:eastAsia="宋体"/>
          <w:b/>
          <w:bCs/>
          <w:lang w:val="en-US" w:eastAsia="zh-CN"/>
        </w:rPr>
      </w:pPr>
      <w:r>
        <w:rPr>
          <w:rFonts w:hint="eastAsia" w:eastAsia="宋体"/>
          <w:b/>
          <w:bCs/>
          <w:lang w:val="en-US" w:eastAsia="zh-CN"/>
        </w:rPr>
        <w:t>Proposal 1: It is proposed that eMTC UE and NB-IoT UE are not considered in the scope.</w:t>
      </w:r>
    </w:p>
    <w:p>
      <w:pPr>
        <w:pStyle w:val="60"/>
        <w:spacing w:after="0"/>
        <w:ind w:left="0" w:firstLine="0"/>
        <w:rPr>
          <w:rFonts w:hint="eastAsia" w:eastAsia="宋体"/>
          <w:lang w:val="en-US" w:eastAsia="zh-CN"/>
        </w:rPr>
      </w:pPr>
      <w:r>
        <w:rPr>
          <w:rFonts w:hint="eastAsia" w:eastAsiaTheme="minorEastAsia"/>
          <w:b/>
          <w:bCs w:val="0"/>
          <w:lang w:val="en-US" w:eastAsia="zh-CN"/>
        </w:rPr>
        <w:t xml:space="preserve">Proposal 2: It is proposed to provide neighbor cells information similar to </w:t>
      </w:r>
      <w:r>
        <w:rPr>
          <w:rFonts w:hint="eastAsia" w:eastAsiaTheme="minorEastAsia"/>
          <w:b/>
          <w:bCs w:val="0"/>
          <w:i/>
          <w:iCs/>
          <w:lang w:val="en-US" w:eastAsia="zh-CN"/>
        </w:rPr>
        <w:t>NTN-NeighCellConfigList</w:t>
      </w:r>
      <w:r>
        <w:rPr>
          <w:rFonts w:hint="eastAsia" w:eastAsiaTheme="minorEastAsia"/>
          <w:b/>
          <w:bCs w:val="0"/>
          <w:lang w:val="en-US" w:eastAsia="zh-CN"/>
        </w:rPr>
        <w:t xml:space="preserve"> in the </w:t>
      </w:r>
      <w:r>
        <w:rPr>
          <w:rFonts w:hint="eastAsia" w:eastAsiaTheme="minorEastAsia"/>
          <w:b/>
          <w:bCs w:val="0"/>
          <w:i/>
          <w:iCs/>
          <w:lang w:val="en-US" w:eastAsia="zh-CN"/>
        </w:rPr>
        <w:t>SIB19</w:t>
      </w:r>
      <w:r>
        <w:rPr>
          <w:rFonts w:hint="eastAsia" w:eastAsiaTheme="minorEastAsia"/>
          <w:b/>
          <w:bCs w:val="0"/>
          <w:lang w:val="en-US" w:eastAsia="zh-CN"/>
        </w:rPr>
        <w:t xml:space="preserve"> of NR NTN.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3: A new SIB other than leveraging existing SIB may be better to provide the NR NTN neighbor cells information due to the limited LTE SIB size.</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4: </w:t>
      </w:r>
      <w:r>
        <w:rPr>
          <w:rFonts w:hint="eastAsia" w:eastAsia="宋体"/>
          <w:b/>
          <w:bCs/>
          <w:lang w:val="en-US" w:eastAsia="zh-CN"/>
        </w:rPr>
        <w:t>Legacy frequency priority mechanism could be the baseline for cell reselection priority between E-UTRA TN and NR NTN.</w:t>
      </w:r>
    </w:p>
    <w:p>
      <w:pPr>
        <w:pStyle w:val="2"/>
        <w:rPr>
          <w:rFonts w:cs="Arial"/>
          <w:sz w:val="32"/>
          <w:szCs w:val="32"/>
        </w:rPr>
      </w:pPr>
      <w:r>
        <w:rPr>
          <w:rFonts w:cs="Arial"/>
          <w:sz w:val="32"/>
          <w:szCs w:val="32"/>
        </w:rPr>
        <w:t>Reference</w:t>
      </w:r>
    </w:p>
    <w:p>
      <w:pPr>
        <w:pStyle w:val="29"/>
        <w:numPr>
          <w:ilvl w:val="0"/>
          <w:numId w:val="15"/>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R2-125bis NR-NTN-IoT-NTN (Sergio) EOM</w:t>
      </w:r>
    </w:p>
    <w:p>
      <w:pPr>
        <w:pStyle w:val="29"/>
        <w:numPr>
          <w:ilvl w:val="0"/>
          <w:numId w:val="15"/>
        </w:numPr>
        <w:overflowPunct/>
        <w:autoSpaceDE/>
        <w:autoSpaceDN/>
        <w:adjustRightInd/>
        <w:spacing w:beforeLines="50" w:after="0"/>
        <w:jc w:val="left"/>
        <w:textAlignment w:val="auto"/>
        <w:rPr>
          <w:rFonts w:hint="eastAsia"/>
          <w:sz w:val="20"/>
          <w:szCs w:val="20"/>
        </w:rPr>
      </w:pPr>
      <w:r>
        <w:rPr>
          <w:rFonts w:hint="eastAsia"/>
          <w:sz w:val="20"/>
          <w:szCs w:val="20"/>
        </w:rPr>
        <w:t>RP-240846 R19 E-UTRAN to NR-NTN mob enh_v13</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198C5872"/>
    <w:multiLevelType w:val="multilevel"/>
    <w:tmpl w:val="198C587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176839"/>
    <w:multiLevelType w:val="singleLevel"/>
    <w:tmpl w:val="38176839"/>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3FD103B1"/>
    <w:multiLevelType w:val="multilevel"/>
    <w:tmpl w:val="3FD1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A96FA5"/>
    <w:multiLevelType w:val="multilevel"/>
    <w:tmpl w:val="7AA96F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4">
    <w:nsid w:val="7E362DA4"/>
    <w:multiLevelType w:val="multilevel"/>
    <w:tmpl w:val="7E362D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1"/>
  </w:num>
  <w:num w:numId="4">
    <w:abstractNumId w:val="8"/>
  </w:num>
  <w:num w:numId="5">
    <w:abstractNumId w:val="2"/>
  </w:num>
  <w:num w:numId="6">
    <w:abstractNumId w:val="6"/>
  </w:num>
  <w:num w:numId="7">
    <w:abstractNumId w:val="9"/>
  </w:num>
  <w:num w:numId="8">
    <w:abstractNumId w:val="5"/>
  </w:num>
  <w:num w:numId="9">
    <w:abstractNumId w:val="10"/>
  </w:num>
  <w:num w:numId="10">
    <w:abstractNumId w:val="12"/>
  </w:num>
  <w:num w:numId="11">
    <w:abstractNumId w:val="1"/>
  </w:num>
  <w:num w:numId="12">
    <w:abstractNumId w:val="14"/>
  </w:num>
  <w:num w:numId="13">
    <w:abstractNumId w:val="7"/>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B06F0E"/>
    <w:rsid w:val="022F4B03"/>
    <w:rsid w:val="02744528"/>
    <w:rsid w:val="02CC0A1F"/>
    <w:rsid w:val="031025DB"/>
    <w:rsid w:val="03A11802"/>
    <w:rsid w:val="03F47F88"/>
    <w:rsid w:val="048A5003"/>
    <w:rsid w:val="04B403C6"/>
    <w:rsid w:val="04BC080F"/>
    <w:rsid w:val="04F50E2F"/>
    <w:rsid w:val="05131CC7"/>
    <w:rsid w:val="05253B7D"/>
    <w:rsid w:val="05574AA2"/>
    <w:rsid w:val="05606A49"/>
    <w:rsid w:val="05983EBC"/>
    <w:rsid w:val="059F751E"/>
    <w:rsid w:val="06261BBF"/>
    <w:rsid w:val="0654248D"/>
    <w:rsid w:val="06565EAE"/>
    <w:rsid w:val="06C0639B"/>
    <w:rsid w:val="06F84D7D"/>
    <w:rsid w:val="07353C74"/>
    <w:rsid w:val="078C1F33"/>
    <w:rsid w:val="07B959B1"/>
    <w:rsid w:val="07EF7893"/>
    <w:rsid w:val="07FE15B0"/>
    <w:rsid w:val="083F0917"/>
    <w:rsid w:val="0841118C"/>
    <w:rsid w:val="086B7D75"/>
    <w:rsid w:val="0870043B"/>
    <w:rsid w:val="08AF444E"/>
    <w:rsid w:val="09133D3D"/>
    <w:rsid w:val="0913705D"/>
    <w:rsid w:val="09B1188B"/>
    <w:rsid w:val="0A1A51CE"/>
    <w:rsid w:val="0A9740DA"/>
    <w:rsid w:val="0ACC0F45"/>
    <w:rsid w:val="0B171650"/>
    <w:rsid w:val="0B4A1814"/>
    <w:rsid w:val="0B510D2F"/>
    <w:rsid w:val="0BD60B5C"/>
    <w:rsid w:val="0C4E5F2A"/>
    <w:rsid w:val="0CAE5B2E"/>
    <w:rsid w:val="0D524167"/>
    <w:rsid w:val="0D681ED9"/>
    <w:rsid w:val="0D6C179F"/>
    <w:rsid w:val="0DDB664A"/>
    <w:rsid w:val="0DEE15B3"/>
    <w:rsid w:val="0E321D7B"/>
    <w:rsid w:val="0E76093E"/>
    <w:rsid w:val="0E8662DB"/>
    <w:rsid w:val="0E891356"/>
    <w:rsid w:val="0E997EF0"/>
    <w:rsid w:val="0EAD3293"/>
    <w:rsid w:val="0EC440FF"/>
    <w:rsid w:val="0EF139CD"/>
    <w:rsid w:val="0F170A4E"/>
    <w:rsid w:val="0FCC0A5A"/>
    <w:rsid w:val="0FE0018D"/>
    <w:rsid w:val="10221AC0"/>
    <w:rsid w:val="10842F24"/>
    <w:rsid w:val="11043CD0"/>
    <w:rsid w:val="110F10D1"/>
    <w:rsid w:val="11B82D63"/>
    <w:rsid w:val="11C5063A"/>
    <w:rsid w:val="128D2197"/>
    <w:rsid w:val="12B27083"/>
    <w:rsid w:val="12BA7EC6"/>
    <w:rsid w:val="13116F0E"/>
    <w:rsid w:val="13132FCE"/>
    <w:rsid w:val="134A0035"/>
    <w:rsid w:val="135C7F4F"/>
    <w:rsid w:val="141B1C76"/>
    <w:rsid w:val="14A20FFB"/>
    <w:rsid w:val="153214F9"/>
    <w:rsid w:val="153372CB"/>
    <w:rsid w:val="164D618C"/>
    <w:rsid w:val="16563130"/>
    <w:rsid w:val="169343E9"/>
    <w:rsid w:val="16AA08E2"/>
    <w:rsid w:val="16F24CA6"/>
    <w:rsid w:val="171776E1"/>
    <w:rsid w:val="177E36D0"/>
    <w:rsid w:val="180E362D"/>
    <w:rsid w:val="184002DC"/>
    <w:rsid w:val="1859524A"/>
    <w:rsid w:val="18787128"/>
    <w:rsid w:val="18B9619D"/>
    <w:rsid w:val="19025FAA"/>
    <w:rsid w:val="191242AE"/>
    <w:rsid w:val="19AC5C42"/>
    <w:rsid w:val="19BC1AC5"/>
    <w:rsid w:val="1A330485"/>
    <w:rsid w:val="1AD70A40"/>
    <w:rsid w:val="1AEF5DBD"/>
    <w:rsid w:val="1B423649"/>
    <w:rsid w:val="1BA24967"/>
    <w:rsid w:val="1BD95F94"/>
    <w:rsid w:val="1BDA5141"/>
    <w:rsid w:val="1C3D1CD0"/>
    <w:rsid w:val="1C5E7298"/>
    <w:rsid w:val="1C851710"/>
    <w:rsid w:val="1DDD518B"/>
    <w:rsid w:val="1DEE0D18"/>
    <w:rsid w:val="1E3072B7"/>
    <w:rsid w:val="1E403C53"/>
    <w:rsid w:val="1EA20D4A"/>
    <w:rsid w:val="1EAA6DF5"/>
    <w:rsid w:val="1EFF6958"/>
    <w:rsid w:val="1F012104"/>
    <w:rsid w:val="1F0A1209"/>
    <w:rsid w:val="1F430AAD"/>
    <w:rsid w:val="1F734328"/>
    <w:rsid w:val="1FA11974"/>
    <w:rsid w:val="20203DE8"/>
    <w:rsid w:val="2031215C"/>
    <w:rsid w:val="205B6824"/>
    <w:rsid w:val="20955704"/>
    <w:rsid w:val="20B64383"/>
    <w:rsid w:val="20DB7C51"/>
    <w:rsid w:val="20E465AD"/>
    <w:rsid w:val="20E9518E"/>
    <w:rsid w:val="211313D4"/>
    <w:rsid w:val="21853E00"/>
    <w:rsid w:val="21A8193B"/>
    <w:rsid w:val="21F86645"/>
    <w:rsid w:val="22940D99"/>
    <w:rsid w:val="234E7F45"/>
    <w:rsid w:val="23DC392C"/>
    <w:rsid w:val="245B6D34"/>
    <w:rsid w:val="24B5447A"/>
    <w:rsid w:val="24B82068"/>
    <w:rsid w:val="24E10292"/>
    <w:rsid w:val="24E1583C"/>
    <w:rsid w:val="24FD433F"/>
    <w:rsid w:val="25043CC9"/>
    <w:rsid w:val="25D97F3F"/>
    <w:rsid w:val="2626306D"/>
    <w:rsid w:val="26553B39"/>
    <w:rsid w:val="26946B35"/>
    <w:rsid w:val="27306E68"/>
    <w:rsid w:val="27606908"/>
    <w:rsid w:val="2773468D"/>
    <w:rsid w:val="277E77C1"/>
    <w:rsid w:val="27E26E59"/>
    <w:rsid w:val="2809471B"/>
    <w:rsid w:val="28255BB3"/>
    <w:rsid w:val="283B220A"/>
    <w:rsid w:val="285478B9"/>
    <w:rsid w:val="287D5E75"/>
    <w:rsid w:val="28AD0B61"/>
    <w:rsid w:val="29423CBE"/>
    <w:rsid w:val="29CD3FA9"/>
    <w:rsid w:val="2A4B23FB"/>
    <w:rsid w:val="2AC82235"/>
    <w:rsid w:val="2AF0613E"/>
    <w:rsid w:val="2B083F92"/>
    <w:rsid w:val="2B542A45"/>
    <w:rsid w:val="2BE54292"/>
    <w:rsid w:val="2CF51ED1"/>
    <w:rsid w:val="2CFA23BD"/>
    <w:rsid w:val="2D3B228A"/>
    <w:rsid w:val="2D5923F4"/>
    <w:rsid w:val="2DB6192E"/>
    <w:rsid w:val="2DF36570"/>
    <w:rsid w:val="2E4C2285"/>
    <w:rsid w:val="2EB775B3"/>
    <w:rsid w:val="2EE85B84"/>
    <w:rsid w:val="2EF94A67"/>
    <w:rsid w:val="302E07AF"/>
    <w:rsid w:val="30946552"/>
    <w:rsid w:val="31042E81"/>
    <w:rsid w:val="311B0263"/>
    <w:rsid w:val="319D3380"/>
    <w:rsid w:val="31AE180F"/>
    <w:rsid w:val="31DF65CC"/>
    <w:rsid w:val="32705B18"/>
    <w:rsid w:val="32A942B0"/>
    <w:rsid w:val="32E16793"/>
    <w:rsid w:val="32F13120"/>
    <w:rsid w:val="32FE0237"/>
    <w:rsid w:val="333663A2"/>
    <w:rsid w:val="333704BD"/>
    <w:rsid w:val="33E26367"/>
    <w:rsid w:val="33F614DE"/>
    <w:rsid w:val="347C3CC9"/>
    <w:rsid w:val="34914DCA"/>
    <w:rsid w:val="34C6331F"/>
    <w:rsid w:val="34D95BB9"/>
    <w:rsid w:val="34F027A5"/>
    <w:rsid w:val="350721BF"/>
    <w:rsid w:val="3557539D"/>
    <w:rsid w:val="361C2353"/>
    <w:rsid w:val="3635547B"/>
    <w:rsid w:val="36746B61"/>
    <w:rsid w:val="36946ACC"/>
    <w:rsid w:val="36A9407C"/>
    <w:rsid w:val="36FA1D41"/>
    <w:rsid w:val="37693EC9"/>
    <w:rsid w:val="37C2178A"/>
    <w:rsid w:val="380411EC"/>
    <w:rsid w:val="3829480D"/>
    <w:rsid w:val="383529C2"/>
    <w:rsid w:val="383C5BD0"/>
    <w:rsid w:val="38536D3F"/>
    <w:rsid w:val="388727CC"/>
    <w:rsid w:val="39024B57"/>
    <w:rsid w:val="392321DF"/>
    <w:rsid w:val="39BD6FC6"/>
    <w:rsid w:val="3A06167E"/>
    <w:rsid w:val="3A5E7CCF"/>
    <w:rsid w:val="3A6F42D5"/>
    <w:rsid w:val="3A752D25"/>
    <w:rsid w:val="3A82293D"/>
    <w:rsid w:val="3A9E2AD9"/>
    <w:rsid w:val="3AA31842"/>
    <w:rsid w:val="3BB55C74"/>
    <w:rsid w:val="3BC23F1A"/>
    <w:rsid w:val="3C5503C9"/>
    <w:rsid w:val="3CD8469E"/>
    <w:rsid w:val="3D2E7413"/>
    <w:rsid w:val="3D966C01"/>
    <w:rsid w:val="3DA51E2F"/>
    <w:rsid w:val="3DB43891"/>
    <w:rsid w:val="3DF97B1A"/>
    <w:rsid w:val="3EBF3FFA"/>
    <w:rsid w:val="3EE00B8B"/>
    <w:rsid w:val="3F3903BA"/>
    <w:rsid w:val="40325295"/>
    <w:rsid w:val="403F2559"/>
    <w:rsid w:val="40F82E28"/>
    <w:rsid w:val="413E0670"/>
    <w:rsid w:val="41585AC3"/>
    <w:rsid w:val="41B34CCB"/>
    <w:rsid w:val="420610DF"/>
    <w:rsid w:val="429544E1"/>
    <w:rsid w:val="42CE6929"/>
    <w:rsid w:val="42F71CEC"/>
    <w:rsid w:val="434B1776"/>
    <w:rsid w:val="43CE2F36"/>
    <w:rsid w:val="443B107F"/>
    <w:rsid w:val="44B14540"/>
    <w:rsid w:val="44BA7E1E"/>
    <w:rsid w:val="44BE79C3"/>
    <w:rsid w:val="457A2409"/>
    <w:rsid w:val="45CA31DA"/>
    <w:rsid w:val="45EC6821"/>
    <w:rsid w:val="45F303D0"/>
    <w:rsid w:val="464004CF"/>
    <w:rsid w:val="46B51FCF"/>
    <w:rsid w:val="46BA0199"/>
    <w:rsid w:val="47062A9A"/>
    <w:rsid w:val="475C78B7"/>
    <w:rsid w:val="47993F84"/>
    <w:rsid w:val="47BD666C"/>
    <w:rsid w:val="480A17DC"/>
    <w:rsid w:val="486A1FA3"/>
    <w:rsid w:val="491E031D"/>
    <w:rsid w:val="499804E8"/>
    <w:rsid w:val="4A284A82"/>
    <w:rsid w:val="4A662E1D"/>
    <w:rsid w:val="4A7E32B4"/>
    <w:rsid w:val="4AFC533A"/>
    <w:rsid w:val="4B1367B9"/>
    <w:rsid w:val="4B316DE7"/>
    <w:rsid w:val="4B9E419F"/>
    <w:rsid w:val="4C353BC7"/>
    <w:rsid w:val="4C5D54D6"/>
    <w:rsid w:val="4C814518"/>
    <w:rsid w:val="4C91315E"/>
    <w:rsid w:val="4CAD0872"/>
    <w:rsid w:val="4CCE50CA"/>
    <w:rsid w:val="4D077DA2"/>
    <w:rsid w:val="4D3A24A4"/>
    <w:rsid w:val="4D594475"/>
    <w:rsid w:val="4DB06342"/>
    <w:rsid w:val="4DEC01C6"/>
    <w:rsid w:val="4DF158ED"/>
    <w:rsid w:val="4E4D0205"/>
    <w:rsid w:val="4EC83A06"/>
    <w:rsid w:val="4F2C3853"/>
    <w:rsid w:val="4F7F20AA"/>
    <w:rsid w:val="4F873909"/>
    <w:rsid w:val="4F987D75"/>
    <w:rsid w:val="4FF617D6"/>
    <w:rsid w:val="506B2DFC"/>
    <w:rsid w:val="506E2756"/>
    <w:rsid w:val="50E64646"/>
    <w:rsid w:val="516A6684"/>
    <w:rsid w:val="518C6DB2"/>
    <w:rsid w:val="51E261D3"/>
    <w:rsid w:val="522E4CB2"/>
    <w:rsid w:val="526327EF"/>
    <w:rsid w:val="532C26FC"/>
    <w:rsid w:val="53322A76"/>
    <w:rsid w:val="53C54AA3"/>
    <w:rsid w:val="54A648D1"/>
    <w:rsid w:val="54AC6338"/>
    <w:rsid w:val="54E44ED6"/>
    <w:rsid w:val="55571991"/>
    <w:rsid w:val="557213D6"/>
    <w:rsid w:val="566931AC"/>
    <w:rsid w:val="56F374FB"/>
    <w:rsid w:val="58B06A81"/>
    <w:rsid w:val="59620232"/>
    <w:rsid w:val="59A00F56"/>
    <w:rsid w:val="59B24039"/>
    <w:rsid w:val="59C22E50"/>
    <w:rsid w:val="5A31005C"/>
    <w:rsid w:val="5AD27471"/>
    <w:rsid w:val="5B3D411A"/>
    <w:rsid w:val="5B8D1AC1"/>
    <w:rsid w:val="5BA3592C"/>
    <w:rsid w:val="5C610721"/>
    <w:rsid w:val="5C8B6FF1"/>
    <w:rsid w:val="5CA24B2D"/>
    <w:rsid w:val="5CB30402"/>
    <w:rsid w:val="5CFE4143"/>
    <w:rsid w:val="5DA318BF"/>
    <w:rsid w:val="5E055781"/>
    <w:rsid w:val="5E0E7F2F"/>
    <w:rsid w:val="5E204AD7"/>
    <w:rsid w:val="5E4C6102"/>
    <w:rsid w:val="5E6D4BC0"/>
    <w:rsid w:val="5EE4466F"/>
    <w:rsid w:val="5EEA5BA3"/>
    <w:rsid w:val="5F3E69CE"/>
    <w:rsid w:val="5FBA4AB4"/>
    <w:rsid w:val="6009519E"/>
    <w:rsid w:val="602A2D5D"/>
    <w:rsid w:val="60AD5F5F"/>
    <w:rsid w:val="60C00963"/>
    <w:rsid w:val="60E30438"/>
    <w:rsid w:val="612D3C7B"/>
    <w:rsid w:val="61826F89"/>
    <w:rsid w:val="623E2101"/>
    <w:rsid w:val="62947A1C"/>
    <w:rsid w:val="62CD6DE1"/>
    <w:rsid w:val="62E70A4E"/>
    <w:rsid w:val="62FD4A9D"/>
    <w:rsid w:val="632C6FC4"/>
    <w:rsid w:val="634B3FF6"/>
    <w:rsid w:val="64460ECC"/>
    <w:rsid w:val="644F5E22"/>
    <w:rsid w:val="64681DB1"/>
    <w:rsid w:val="64902A98"/>
    <w:rsid w:val="64D843A5"/>
    <w:rsid w:val="65285C53"/>
    <w:rsid w:val="652B7ADD"/>
    <w:rsid w:val="659362DC"/>
    <w:rsid w:val="65B57054"/>
    <w:rsid w:val="65BB4C4A"/>
    <w:rsid w:val="663B46C9"/>
    <w:rsid w:val="663F30CF"/>
    <w:rsid w:val="667645CC"/>
    <w:rsid w:val="67413BF6"/>
    <w:rsid w:val="6755359A"/>
    <w:rsid w:val="676431FE"/>
    <w:rsid w:val="67A7418D"/>
    <w:rsid w:val="67D27C62"/>
    <w:rsid w:val="67DF6978"/>
    <w:rsid w:val="680B0911"/>
    <w:rsid w:val="694E04D2"/>
    <w:rsid w:val="698044A5"/>
    <w:rsid w:val="69EC5C69"/>
    <w:rsid w:val="6A162446"/>
    <w:rsid w:val="6A510F7A"/>
    <w:rsid w:val="6AA67E64"/>
    <w:rsid w:val="6B0D712F"/>
    <w:rsid w:val="6B28575B"/>
    <w:rsid w:val="6B3A78D7"/>
    <w:rsid w:val="6BE4485D"/>
    <w:rsid w:val="6C3B431E"/>
    <w:rsid w:val="6C857DA8"/>
    <w:rsid w:val="6CC1587C"/>
    <w:rsid w:val="6D167504"/>
    <w:rsid w:val="6D2B74AA"/>
    <w:rsid w:val="6D697BC3"/>
    <w:rsid w:val="6D7111BC"/>
    <w:rsid w:val="6DCA5CB9"/>
    <w:rsid w:val="6DD65377"/>
    <w:rsid w:val="6E280F38"/>
    <w:rsid w:val="6E6D2B48"/>
    <w:rsid w:val="6E8A21F7"/>
    <w:rsid w:val="6EAF0B76"/>
    <w:rsid w:val="6EF901F5"/>
    <w:rsid w:val="6F2867BD"/>
    <w:rsid w:val="6F423F47"/>
    <w:rsid w:val="6F44559B"/>
    <w:rsid w:val="703031CF"/>
    <w:rsid w:val="703A2630"/>
    <w:rsid w:val="709C594C"/>
    <w:rsid w:val="70B240EF"/>
    <w:rsid w:val="71D05F49"/>
    <w:rsid w:val="71F97835"/>
    <w:rsid w:val="72A46F04"/>
    <w:rsid w:val="72D66B55"/>
    <w:rsid w:val="73090FE2"/>
    <w:rsid w:val="73265607"/>
    <w:rsid w:val="73F82EA2"/>
    <w:rsid w:val="740D6797"/>
    <w:rsid w:val="7435596C"/>
    <w:rsid w:val="74722C9A"/>
    <w:rsid w:val="747E452E"/>
    <w:rsid w:val="74FA5A4A"/>
    <w:rsid w:val="755F161D"/>
    <w:rsid w:val="756103A4"/>
    <w:rsid w:val="756B79AA"/>
    <w:rsid w:val="75884210"/>
    <w:rsid w:val="75BD4A84"/>
    <w:rsid w:val="75EA7003"/>
    <w:rsid w:val="760D56E2"/>
    <w:rsid w:val="76EE218C"/>
    <w:rsid w:val="772E0B03"/>
    <w:rsid w:val="778A542A"/>
    <w:rsid w:val="77B518A9"/>
    <w:rsid w:val="77C177F8"/>
    <w:rsid w:val="77EF5E51"/>
    <w:rsid w:val="786E27DF"/>
    <w:rsid w:val="79332F0B"/>
    <w:rsid w:val="79C11BD2"/>
    <w:rsid w:val="79E8078D"/>
    <w:rsid w:val="7A2B2B8A"/>
    <w:rsid w:val="7A2C376D"/>
    <w:rsid w:val="7A3422EE"/>
    <w:rsid w:val="7A4774F3"/>
    <w:rsid w:val="7AA678C6"/>
    <w:rsid w:val="7B113087"/>
    <w:rsid w:val="7B5441DD"/>
    <w:rsid w:val="7B9E2E7D"/>
    <w:rsid w:val="7BEA35A6"/>
    <w:rsid w:val="7C050B07"/>
    <w:rsid w:val="7C9E7A01"/>
    <w:rsid w:val="7D2E186E"/>
    <w:rsid w:val="7D584927"/>
    <w:rsid w:val="7D8F4D8B"/>
    <w:rsid w:val="7DBA4407"/>
    <w:rsid w:val="7DD14D63"/>
    <w:rsid w:val="7E0773D0"/>
    <w:rsid w:val="7E5D66DD"/>
    <w:rsid w:val="7E734104"/>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6"/>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2024-05-10T06:17:11Z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05B37FF22120445D8F55143F1E238364</vt:lpwstr>
  </property>
</Properties>
</file>